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421"/>
        <w:gridCol w:w="149"/>
        <w:gridCol w:w="1268"/>
        <w:gridCol w:w="3691"/>
        <w:gridCol w:w="1951"/>
        <w:gridCol w:w="2320"/>
      </w:tblGrid>
      <w:tr w:rsidR="00DD2265" w:rsidRPr="003371E2" w14:paraId="00BF41BD" w14:textId="77777777" w:rsidTr="004B254E">
        <w:trPr>
          <w:trHeight w:val="432"/>
        </w:trPr>
        <w:tc>
          <w:tcPr>
            <w:tcW w:w="1838" w:type="dxa"/>
            <w:gridSpan w:val="3"/>
            <w:shd w:val="clear" w:color="auto" w:fill="DEEAF6" w:themeFill="accent5" w:themeFillTint="33"/>
            <w:vAlign w:val="center"/>
          </w:tcPr>
          <w:p w14:paraId="067A610B" w14:textId="3ED0E3D6" w:rsidR="00DD2265" w:rsidRPr="003371E2" w:rsidRDefault="00DD2265" w:rsidP="00DD2265">
            <w:pPr>
              <w:bidi w:val="0"/>
              <w:rPr>
                <w:rFonts w:asciiTheme="majorBidi" w:hAnsiTheme="majorBidi" w:cstheme="majorBidi"/>
                <w:sz w:val="24"/>
                <w:szCs w:val="24"/>
                <w:rtl/>
              </w:rPr>
            </w:pPr>
            <w:r w:rsidRPr="003371E2">
              <w:rPr>
                <w:rFonts w:asciiTheme="majorBidi" w:hAnsiTheme="majorBidi" w:cstheme="majorBidi"/>
                <w:b/>
                <w:bCs/>
                <w:sz w:val="24"/>
                <w:szCs w:val="24"/>
                <w:lang w:bidi="ar-YE"/>
              </w:rPr>
              <w:t>Course Title</w:t>
            </w:r>
          </w:p>
        </w:tc>
        <w:tc>
          <w:tcPr>
            <w:tcW w:w="3691" w:type="dxa"/>
            <w:shd w:val="clear" w:color="auto" w:fill="auto"/>
            <w:vAlign w:val="center"/>
          </w:tcPr>
          <w:p w14:paraId="1FE995A6" w14:textId="1FBF5FB1" w:rsidR="00DD2265" w:rsidRPr="003371E2" w:rsidRDefault="00F818C4" w:rsidP="00F818C4">
            <w:pPr>
              <w:bidi w:val="0"/>
              <w:jc w:val="center"/>
              <w:rPr>
                <w:rFonts w:asciiTheme="majorBidi" w:hAnsiTheme="majorBidi" w:cstheme="majorBidi"/>
                <w:sz w:val="24"/>
                <w:szCs w:val="24"/>
                <w:lang w:bidi="ar-YE"/>
              </w:rPr>
            </w:pPr>
            <w:r w:rsidRPr="003371E2">
              <w:rPr>
                <w:rFonts w:asciiTheme="majorBidi" w:hAnsiTheme="majorBidi" w:cstheme="majorBidi"/>
                <w:sz w:val="24"/>
                <w:szCs w:val="24"/>
                <w:lang w:bidi="ar-YE"/>
              </w:rPr>
              <w:t>Nutrition in Emergencies</w:t>
            </w:r>
          </w:p>
        </w:tc>
        <w:tc>
          <w:tcPr>
            <w:tcW w:w="1951" w:type="dxa"/>
            <w:shd w:val="clear" w:color="auto" w:fill="DEEAF6" w:themeFill="accent5" w:themeFillTint="33"/>
            <w:vAlign w:val="center"/>
          </w:tcPr>
          <w:p w14:paraId="5F1ED30D" w14:textId="14FA88E0" w:rsidR="00DD2265" w:rsidRPr="003371E2" w:rsidRDefault="00DD2265" w:rsidP="00DD2265">
            <w:pPr>
              <w:bidi w:val="0"/>
              <w:rPr>
                <w:rFonts w:asciiTheme="majorBidi" w:hAnsiTheme="majorBidi" w:cstheme="majorBidi"/>
                <w:sz w:val="24"/>
                <w:szCs w:val="24"/>
                <w:rtl/>
              </w:rPr>
            </w:pPr>
            <w:r w:rsidRPr="003371E2">
              <w:rPr>
                <w:rFonts w:asciiTheme="majorBidi" w:hAnsiTheme="majorBidi" w:cstheme="majorBidi"/>
                <w:b/>
                <w:bCs/>
                <w:sz w:val="24"/>
                <w:szCs w:val="24"/>
                <w:lang w:bidi="ar-YE"/>
              </w:rPr>
              <w:t>Course Code</w:t>
            </w:r>
          </w:p>
        </w:tc>
        <w:tc>
          <w:tcPr>
            <w:tcW w:w="2320" w:type="dxa"/>
            <w:shd w:val="clear" w:color="auto" w:fill="auto"/>
            <w:vAlign w:val="center"/>
          </w:tcPr>
          <w:p w14:paraId="3C937A15" w14:textId="1A1D4C5A" w:rsidR="00DD2265" w:rsidRPr="003371E2" w:rsidRDefault="00F818C4" w:rsidP="00F818C4">
            <w:pPr>
              <w:bidi w:val="0"/>
              <w:jc w:val="center"/>
              <w:rPr>
                <w:rFonts w:asciiTheme="majorBidi" w:hAnsiTheme="majorBidi" w:cstheme="majorBidi"/>
                <w:b/>
                <w:bCs/>
                <w:sz w:val="24"/>
                <w:szCs w:val="24"/>
                <w:lang w:bidi="ar-YE"/>
              </w:rPr>
            </w:pPr>
            <w:r w:rsidRPr="003371E2">
              <w:rPr>
                <w:rFonts w:asciiTheme="majorBidi" w:hAnsiTheme="majorBidi" w:cstheme="majorBidi"/>
                <w:b/>
                <w:bCs/>
                <w:sz w:val="24"/>
                <w:szCs w:val="24"/>
                <w:lang w:bidi="ar-YE"/>
              </w:rPr>
              <w:t>BNDL03</w:t>
            </w:r>
          </w:p>
        </w:tc>
      </w:tr>
      <w:tr w:rsidR="00DD2265" w:rsidRPr="003371E2" w14:paraId="6A10E804" w14:textId="77777777" w:rsidTr="004B254E">
        <w:trPr>
          <w:trHeight w:val="432"/>
        </w:trPr>
        <w:tc>
          <w:tcPr>
            <w:tcW w:w="1838" w:type="dxa"/>
            <w:gridSpan w:val="3"/>
            <w:shd w:val="clear" w:color="auto" w:fill="DEEAF6" w:themeFill="accent5" w:themeFillTint="33"/>
            <w:vAlign w:val="center"/>
          </w:tcPr>
          <w:p w14:paraId="4449956D" w14:textId="6EC15158" w:rsidR="00DD2265" w:rsidRPr="003371E2" w:rsidRDefault="00DD2265" w:rsidP="00DD2265">
            <w:pPr>
              <w:bidi w:val="0"/>
              <w:rPr>
                <w:rFonts w:asciiTheme="majorBidi" w:hAnsiTheme="majorBidi" w:cstheme="majorBidi"/>
                <w:sz w:val="24"/>
                <w:szCs w:val="24"/>
                <w:rtl/>
              </w:rPr>
            </w:pPr>
            <w:r w:rsidRPr="003371E2">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3371E2" w:rsidRDefault="004B254E" w:rsidP="00F818C4">
            <w:pPr>
              <w:bidi w:val="0"/>
              <w:jc w:val="center"/>
              <w:rPr>
                <w:rFonts w:asciiTheme="majorBidi" w:hAnsiTheme="majorBidi" w:cstheme="majorBidi"/>
                <w:sz w:val="24"/>
                <w:szCs w:val="24"/>
                <w:lang w:bidi="ar-YE"/>
              </w:rPr>
            </w:pPr>
            <w:r w:rsidRPr="003371E2">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3371E2" w:rsidRDefault="00DD2265" w:rsidP="00DD2265">
            <w:pPr>
              <w:bidi w:val="0"/>
              <w:rPr>
                <w:rFonts w:asciiTheme="majorBidi" w:hAnsiTheme="majorBidi" w:cstheme="majorBidi"/>
                <w:sz w:val="24"/>
                <w:szCs w:val="24"/>
                <w:rtl/>
              </w:rPr>
            </w:pPr>
            <w:r w:rsidRPr="003371E2">
              <w:rPr>
                <w:rFonts w:asciiTheme="majorBidi" w:hAnsiTheme="majorBidi" w:cstheme="majorBidi"/>
                <w:b/>
                <w:bCs/>
                <w:sz w:val="24"/>
                <w:szCs w:val="24"/>
                <w:lang w:bidi="ar-YE"/>
              </w:rPr>
              <w:t>Level</w:t>
            </w:r>
          </w:p>
        </w:tc>
        <w:tc>
          <w:tcPr>
            <w:tcW w:w="2320" w:type="dxa"/>
            <w:shd w:val="clear" w:color="auto" w:fill="auto"/>
            <w:vAlign w:val="center"/>
          </w:tcPr>
          <w:p w14:paraId="73143A63" w14:textId="71082461" w:rsidR="00DD2265" w:rsidRPr="003371E2" w:rsidRDefault="00F362C3" w:rsidP="00F818C4">
            <w:pPr>
              <w:bidi w:val="0"/>
              <w:jc w:val="center"/>
              <w:rPr>
                <w:rFonts w:asciiTheme="majorBidi" w:hAnsiTheme="majorBidi" w:cstheme="majorBidi"/>
                <w:sz w:val="24"/>
                <w:szCs w:val="24"/>
              </w:rPr>
            </w:pPr>
            <w:r w:rsidRPr="003371E2">
              <w:rPr>
                <w:rFonts w:asciiTheme="majorBidi" w:hAnsiTheme="majorBidi" w:cstheme="majorBidi"/>
                <w:sz w:val="24"/>
                <w:szCs w:val="24"/>
              </w:rPr>
              <w:t>4</w:t>
            </w:r>
            <w:r w:rsidR="00A73E59" w:rsidRPr="003371E2">
              <w:rPr>
                <w:rFonts w:asciiTheme="majorBidi" w:hAnsiTheme="majorBidi" w:cstheme="majorBidi"/>
                <w:sz w:val="24"/>
                <w:szCs w:val="24"/>
                <w:vertAlign w:val="superscript"/>
              </w:rPr>
              <w:t>th</w:t>
            </w:r>
            <w:r w:rsidR="00A73E59" w:rsidRPr="003371E2">
              <w:rPr>
                <w:rFonts w:asciiTheme="majorBidi" w:hAnsiTheme="majorBidi" w:cstheme="majorBidi"/>
                <w:sz w:val="24"/>
                <w:szCs w:val="24"/>
              </w:rPr>
              <w:t xml:space="preserve"> </w:t>
            </w:r>
            <w:r w:rsidR="001C2646" w:rsidRPr="003371E2">
              <w:rPr>
                <w:rFonts w:asciiTheme="majorBidi" w:hAnsiTheme="majorBidi" w:cstheme="majorBidi"/>
                <w:sz w:val="24"/>
                <w:szCs w:val="24"/>
                <w:vertAlign w:val="superscript"/>
              </w:rPr>
              <w:t xml:space="preserve"> </w:t>
            </w:r>
            <w:r w:rsidRPr="003371E2">
              <w:rPr>
                <w:rFonts w:asciiTheme="majorBidi" w:hAnsiTheme="majorBidi" w:cstheme="majorBidi"/>
                <w:sz w:val="24"/>
                <w:szCs w:val="24"/>
              </w:rPr>
              <w:t xml:space="preserve"> </w:t>
            </w:r>
            <w:r w:rsidR="001C2646" w:rsidRPr="003371E2">
              <w:rPr>
                <w:rFonts w:asciiTheme="majorBidi" w:hAnsiTheme="majorBidi" w:cstheme="majorBidi"/>
                <w:sz w:val="24"/>
                <w:szCs w:val="24"/>
              </w:rPr>
              <w:t>level</w:t>
            </w:r>
          </w:p>
        </w:tc>
      </w:tr>
      <w:tr w:rsidR="00DD2265" w:rsidRPr="003371E2" w14:paraId="2790CA5F" w14:textId="77777777" w:rsidTr="004B254E">
        <w:trPr>
          <w:trHeight w:val="432"/>
        </w:trPr>
        <w:tc>
          <w:tcPr>
            <w:tcW w:w="1838" w:type="dxa"/>
            <w:gridSpan w:val="3"/>
            <w:shd w:val="clear" w:color="auto" w:fill="DEEAF6" w:themeFill="accent5" w:themeFillTint="33"/>
            <w:vAlign w:val="center"/>
          </w:tcPr>
          <w:p w14:paraId="25A1CBA1" w14:textId="095A9D8D" w:rsidR="00DD2265" w:rsidRPr="003371E2" w:rsidRDefault="00DD2265" w:rsidP="00DD2265">
            <w:pPr>
              <w:bidi w:val="0"/>
              <w:rPr>
                <w:rFonts w:asciiTheme="majorBidi" w:hAnsiTheme="majorBidi" w:cstheme="majorBidi"/>
                <w:sz w:val="24"/>
                <w:szCs w:val="24"/>
                <w:rtl/>
              </w:rPr>
            </w:pPr>
            <w:r w:rsidRPr="003371E2">
              <w:rPr>
                <w:rFonts w:asciiTheme="majorBidi" w:hAnsiTheme="majorBidi" w:cstheme="majorBidi"/>
                <w:b/>
                <w:bCs/>
                <w:sz w:val="24"/>
                <w:szCs w:val="24"/>
                <w:lang w:bidi="ar-YE"/>
              </w:rPr>
              <w:t>Credit Hours</w:t>
            </w:r>
          </w:p>
        </w:tc>
        <w:tc>
          <w:tcPr>
            <w:tcW w:w="3691" w:type="dxa"/>
            <w:shd w:val="clear" w:color="auto" w:fill="auto"/>
            <w:vAlign w:val="center"/>
          </w:tcPr>
          <w:p w14:paraId="4B0DA1B9" w14:textId="0BC6D967" w:rsidR="00DD2265" w:rsidRPr="003371E2" w:rsidRDefault="00F818C4" w:rsidP="00F818C4">
            <w:pPr>
              <w:bidi w:val="0"/>
              <w:jc w:val="center"/>
              <w:rPr>
                <w:rFonts w:asciiTheme="majorBidi" w:hAnsiTheme="majorBidi" w:cstheme="majorBidi"/>
                <w:sz w:val="24"/>
                <w:szCs w:val="24"/>
                <w:rtl/>
              </w:rPr>
            </w:pPr>
            <w:r w:rsidRPr="003371E2">
              <w:rPr>
                <w:rFonts w:asciiTheme="majorBidi" w:hAnsiTheme="majorBidi" w:cstheme="majorBidi"/>
                <w:sz w:val="24"/>
                <w:szCs w:val="24"/>
              </w:rPr>
              <w:t>2</w:t>
            </w:r>
          </w:p>
        </w:tc>
        <w:tc>
          <w:tcPr>
            <w:tcW w:w="1951" w:type="dxa"/>
            <w:shd w:val="clear" w:color="auto" w:fill="DEEAF6" w:themeFill="accent5" w:themeFillTint="33"/>
            <w:vAlign w:val="center"/>
          </w:tcPr>
          <w:p w14:paraId="650225EC" w14:textId="09EBB029" w:rsidR="00DD2265" w:rsidRPr="003371E2" w:rsidRDefault="00DD2265" w:rsidP="00DD2265">
            <w:pPr>
              <w:bidi w:val="0"/>
              <w:rPr>
                <w:rFonts w:asciiTheme="majorBidi" w:hAnsiTheme="majorBidi" w:cstheme="majorBidi"/>
                <w:sz w:val="24"/>
                <w:szCs w:val="24"/>
                <w:rtl/>
              </w:rPr>
            </w:pPr>
            <w:r w:rsidRPr="003371E2">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7C1A10C4" w:rsidR="00DD2265" w:rsidRPr="003371E2" w:rsidRDefault="00DD2265" w:rsidP="00F818C4">
            <w:pPr>
              <w:bidi w:val="0"/>
              <w:jc w:val="center"/>
              <w:rPr>
                <w:rFonts w:asciiTheme="majorBidi" w:hAnsiTheme="majorBidi" w:cstheme="majorBidi"/>
                <w:sz w:val="24"/>
                <w:szCs w:val="24"/>
                <w:lang w:bidi="ar-YE"/>
              </w:rPr>
            </w:pPr>
          </w:p>
        </w:tc>
      </w:tr>
      <w:tr w:rsidR="00DD2265" w:rsidRPr="003371E2" w14:paraId="4436D9FA" w14:textId="77777777" w:rsidTr="00DD2265">
        <w:trPr>
          <w:trHeight w:val="432"/>
        </w:trPr>
        <w:tc>
          <w:tcPr>
            <w:tcW w:w="9800" w:type="dxa"/>
            <w:gridSpan w:val="6"/>
            <w:shd w:val="clear" w:color="auto" w:fill="DEEAF6" w:themeFill="accent5" w:themeFillTint="33"/>
            <w:vAlign w:val="center"/>
          </w:tcPr>
          <w:p w14:paraId="7FFA6663" w14:textId="47E0FEF0" w:rsidR="00DD2265" w:rsidRPr="003371E2" w:rsidRDefault="00DD2265" w:rsidP="00DD2265">
            <w:pPr>
              <w:shd w:val="clear" w:color="auto" w:fill="DEEAF6" w:themeFill="accent5" w:themeFillTint="33"/>
              <w:bidi w:val="0"/>
              <w:rPr>
                <w:rFonts w:asciiTheme="majorBidi" w:hAnsiTheme="majorBidi" w:cstheme="majorBidi"/>
                <w:b/>
                <w:bCs/>
                <w:sz w:val="24"/>
                <w:szCs w:val="24"/>
                <w:rtl/>
                <w:lang w:bidi="ar-YE"/>
              </w:rPr>
            </w:pPr>
            <w:r w:rsidRPr="003371E2">
              <w:rPr>
                <w:rFonts w:asciiTheme="majorBidi" w:hAnsiTheme="majorBidi" w:cstheme="majorBidi"/>
                <w:b/>
                <w:bCs/>
                <w:sz w:val="24"/>
                <w:szCs w:val="24"/>
                <w:lang w:bidi="ar-YE"/>
              </w:rPr>
              <w:t>Course Description:</w:t>
            </w:r>
          </w:p>
        </w:tc>
      </w:tr>
      <w:tr w:rsidR="00DD2265" w:rsidRPr="003371E2" w14:paraId="6EE2C7E2" w14:textId="77777777" w:rsidTr="00DD2265">
        <w:trPr>
          <w:trHeight w:val="1322"/>
        </w:trPr>
        <w:tc>
          <w:tcPr>
            <w:tcW w:w="9800" w:type="dxa"/>
            <w:gridSpan w:val="6"/>
            <w:vAlign w:val="center"/>
          </w:tcPr>
          <w:p w14:paraId="4799B5DD" w14:textId="0F3C3122" w:rsidR="00DD2265" w:rsidRPr="003371E2" w:rsidRDefault="00F818C4" w:rsidP="00F818C4">
            <w:pPr>
              <w:bidi w:val="0"/>
              <w:jc w:val="both"/>
              <w:rPr>
                <w:rFonts w:asciiTheme="majorBidi" w:hAnsiTheme="majorBidi" w:cstheme="majorBidi"/>
                <w:sz w:val="24"/>
                <w:szCs w:val="24"/>
              </w:rPr>
            </w:pPr>
            <w:r w:rsidRPr="003371E2">
              <w:rPr>
                <w:rFonts w:asciiTheme="majorBidi" w:hAnsiTheme="majorBidi" w:cstheme="majorBidi"/>
                <w:sz w:val="24"/>
                <w:szCs w:val="24"/>
              </w:rPr>
              <w:t>The course aims to provide an overview of nutrition during humanitarian emergencies in Yemen. The topics studied will include a general review of the different types of malnutrition, their direct and underlying causes, measuring malnutrition at the population and individual levels as well as common nutritional interventions, and infant and young child feeding. The teaching strategies will include lectures, self-learning and assignment. The student will be evaluated through written exam, report and assignments evaluation.</w:t>
            </w:r>
          </w:p>
        </w:tc>
      </w:tr>
      <w:tr w:rsidR="00DD2265" w:rsidRPr="003371E2" w14:paraId="658E1E27" w14:textId="77777777" w:rsidTr="00DD2265">
        <w:trPr>
          <w:trHeight w:val="432"/>
        </w:trPr>
        <w:tc>
          <w:tcPr>
            <w:tcW w:w="9800" w:type="dxa"/>
            <w:gridSpan w:val="6"/>
            <w:shd w:val="clear" w:color="auto" w:fill="DEEAF6" w:themeFill="accent5" w:themeFillTint="33"/>
            <w:vAlign w:val="center"/>
          </w:tcPr>
          <w:p w14:paraId="384FB98D" w14:textId="2BCCA7E4" w:rsidR="00DD2265" w:rsidRPr="003371E2" w:rsidRDefault="00DD2265" w:rsidP="00DD2265">
            <w:pPr>
              <w:shd w:val="clear" w:color="auto" w:fill="DEEAF6" w:themeFill="accent5" w:themeFillTint="33"/>
              <w:bidi w:val="0"/>
              <w:rPr>
                <w:rFonts w:asciiTheme="majorBidi" w:hAnsiTheme="majorBidi" w:cstheme="majorBidi"/>
                <w:b/>
                <w:bCs/>
                <w:sz w:val="24"/>
                <w:szCs w:val="24"/>
                <w:rtl/>
                <w:lang w:bidi="ar-YE"/>
              </w:rPr>
            </w:pPr>
            <w:r w:rsidRPr="003371E2">
              <w:rPr>
                <w:rFonts w:asciiTheme="majorBidi" w:hAnsiTheme="majorBidi" w:cstheme="majorBidi"/>
                <w:b/>
                <w:bCs/>
                <w:sz w:val="24"/>
                <w:szCs w:val="24"/>
                <w:lang w:bidi="ar-YE"/>
              </w:rPr>
              <w:t>Topics Covered:</w:t>
            </w:r>
          </w:p>
        </w:tc>
      </w:tr>
      <w:tr w:rsidR="00F818C4" w:rsidRPr="003371E2" w14:paraId="2978A4E8" w14:textId="77777777" w:rsidTr="00092CA6">
        <w:trPr>
          <w:trHeight w:val="100"/>
        </w:trPr>
        <w:tc>
          <w:tcPr>
            <w:tcW w:w="421" w:type="dxa"/>
            <w:vAlign w:val="center"/>
          </w:tcPr>
          <w:p w14:paraId="4894890A"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3D8EC717" w14:textId="27949742"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Introduction to Nutrition in Emergencies</w:t>
            </w:r>
          </w:p>
        </w:tc>
      </w:tr>
      <w:tr w:rsidR="00F818C4" w:rsidRPr="003371E2" w14:paraId="48C46520" w14:textId="77777777" w:rsidTr="00092CA6">
        <w:trPr>
          <w:trHeight w:val="96"/>
        </w:trPr>
        <w:tc>
          <w:tcPr>
            <w:tcW w:w="421" w:type="dxa"/>
            <w:vAlign w:val="center"/>
          </w:tcPr>
          <w:p w14:paraId="57A34BCD"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6FC08BE9" w14:textId="25D99778"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The humanitarian system: roles, responsibilities and coordination</w:t>
            </w:r>
          </w:p>
        </w:tc>
      </w:tr>
      <w:tr w:rsidR="00F818C4" w:rsidRPr="003371E2" w14:paraId="0CC3CE25" w14:textId="77777777" w:rsidTr="00092CA6">
        <w:trPr>
          <w:trHeight w:val="96"/>
        </w:trPr>
        <w:tc>
          <w:tcPr>
            <w:tcW w:w="421" w:type="dxa"/>
            <w:vAlign w:val="center"/>
          </w:tcPr>
          <w:p w14:paraId="2E83FDA8"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316863A7" w14:textId="7EA1F24E"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Understanding malnutrition</w:t>
            </w:r>
          </w:p>
        </w:tc>
      </w:tr>
      <w:tr w:rsidR="00F818C4" w:rsidRPr="003371E2" w14:paraId="6D50079C" w14:textId="77777777" w:rsidTr="00092CA6">
        <w:trPr>
          <w:trHeight w:val="96"/>
        </w:trPr>
        <w:tc>
          <w:tcPr>
            <w:tcW w:w="421" w:type="dxa"/>
            <w:vAlign w:val="center"/>
          </w:tcPr>
          <w:p w14:paraId="3325E8FA"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4EC81810" w14:textId="446C0253"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Micronutrient malnutrition</w:t>
            </w:r>
          </w:p>
        </w:tc>
      </w:tr>
      <w:tr w:rsidR="00F818C4" w:rsidRPr="003371E2" w14:paraId="7CA364C7" w14:textId="77777777" w:rsidTr="00092CA6">
        <w:trPr>
          <w:trHeight w:val="96"/>
        </w:trPr>
        <w:tc>
          <w:tcPr>
            <w:tcW w:w="421" w:type="dxa"/>
            <w:vAlign w:val="center"/>
          </w:tcPr>
          <w:p w14:paraId="3E80CB90"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3240D7CB" w14:textId="7208532E"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Measuring malnutrition: individual assessment</w:t>
            </w:r>
          </w:p>
        </w:tc>
      </w:tr>
      <w:tr w:rsidR="00F818C4" w:rsidRPr="003371E2" w14:paraId="6DBB4AAC" w14:textId="77777777" w:rsidTr="00092CA6">
        <w:trPr>
          <w:trHeight w:val="96"/>
        </w:trPr>
        <w:tc>
          <w:tcPr>
            <w:tcW w:w="421" w:type="dxa"/>
            <w:vAlign w:val="center"/>
          </w:tcPr>
          <w:p w14:paraId="43210C26"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235E24ED" w14:textId="68A7377B"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Measuring malnutrition: population assessment</w:t>
            </w:r>
          </w:p>
        </w:tc>
      </w:tr>
      <w:tr w:rsidR="00F818C4" w:rsidRPr="003371E2" w14:paraId="5B0E73C1" w14:textId="77777777" w:rsidTr="00092CA6">
        <w:trPr>
          <w:trHeight w:val="96"/>
        </w:trPr>
        <w:tc>
          <w:tcPr>
            <w:tcW w:w="421" w:type="dxa"/>
            <w:vAlign w:val="center"/>
          </w:tcPr>
          <w:p w14:paraId="5ADFD1DA"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452C99A0" w14:textId="2ECF7AD0"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Health assessment and the link with nutrition</w:t>
            </w:r>
          </w:p>
        </w:tc>
      </w:tr>
      <w:tr w:rsidR="00F818C4" w:rsidRPr="003371E2" w14:paraId="2287E211" w14:textId="77777777" w:rsidTr="00092CA6">
        <w:trPr>
          <w:trHeight w:val="96"/>
        </w:trPr>
        <w:tc>
          <w:tcPr>
            <w:tcW w:w="421" w:type="dxa"/>
            <w:vAlign w:val="center"/>
          </w:tcPr>
          <w:p w14:paraId="5C064C28"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547B8AC7" w14:textId="39AFF825"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Mid Term Exam</w:t>
            </w:r>
          </w:p>
        </w:tc>
      </w:tr>
      <w:tr w:rsidR="00F818C4" w:rsidRPr="003371E2" w14:paraId="402C867C" w14:textId="77777777" w:rsidTr="00092CA6">
        <w:trPr>
          <w:trHeight w:val="96"/>
        </w:trPr>
        <w:tc>
          <w:tcPr>
            <w:tcW w:w="421" w:type="dxa"/>
            <w:vAlign w:val="center"/>
          </w:tcPr>
          <w:p w14:paraId="2C4507A0"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51F85D9F" w14:textId="0046DD99"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Food security assessment and the link with nutrition</w:t>
            </w:r>
          </w:p>
        </w:tc>
      </w:tr>
      <w:tr w:rsidR="00F818C4" w:rsidRPr="003371E2" w14:paraId="5D830E9B" w14:textId="77777777" w:rsidTr="00D52BCF">
        <w:trPr>
          <w:trHeight w:val="96"/>
        </w:trPr>
        <w:tc>
          <w:tcPr>
            <w:tcW w:w="421" w:type="dxa"/>
            <w:vAlign w:val="center"/>
          </w:tcPr>
          <w:p w14:paraId="1D7E5838"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07302834" w14:textId="6F4CE9CF"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Nutrition information and surveillance systems</w:t>
            </w:r>
          </w:p>
        </w:tc>
      </w:tr>
      <w:tr w:rsidR="00F818C4" w:rsidRPr="003371E2" w14:paraId="75CB72A6" w14:textId="77777777" w:rsidTr="00E94B2B">
        <w:trPr>
          <w:trHeight w:val="113"/>
        </w:trPr>
        <w:tc>
          <w:tcPr>
            <w:tcW w:w="421" w:type="dxa"/>
            <w:vMerge w:val="restart"/>
            <w:vAlign w:val="center"/>
          </w:tcPr>
          <w:p w14:paraId="2AFC23EB"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07D44799" w14:textId="176CD37A"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General Food</w:t>
            </w:r>
            <w:r w:rsidRPr="003371E2">
              <w:rPr>
                <w:rFonts w:asciiTheme="majorBidi" w:hAnsiTheme="majorBidi" w:cstheme="majorBidi"/>
                <w:sz w:val="24"/>
                <w:szCs w:val="24"/>
              </w:rPr>
              <w:t xml:space="preserve"> </w:t>
            </w:r>
            <w:r w:rsidRPr="003371E2">
              <w:rPr>
                <w:rFonts w:asciiTheme="majorBidi" w:hAnsiTheme="majorBidi" w:cstheme="majorBidi"/>
                <w:sz w:val="24"/>
                <w:szCs w:val="24"/>
              </w:rPr>
              <w:t>Distribution</w:t>
            </w:r>
          </w:p>
        </w:tc>
      </w:tr>
      <w:tr w:rsidR="00F818C4" w:rsidRPr="003371E2" w14:paraId="52370790" w14:textId="77777777" w:rsidTr="00C27BB2">
        <w:trPr>
          <w:trHeight w:val="112"/>
        </w:trPr>
        <w:tc>
          <w:tcPr>
            <w:tcW w:w="421" w:type="dxa"/>
            <w:vMerge/>
            <w:vAlign w:val="center"/>
          </w:tcPr>
          <w:p w14:paraId="485B274F" w14:textId="77777777" w:rsidR="00F818C4" w:rsidRPr="003371E2" w:rsidRDefault="00F818C4" w:rsidP="00F818C4">
            <w:pPr>
              <w:pStyle w:val="a7"/>
              <w:numPr>
                <w:ilvl w:val="0"/>
                <w:numId w:val="4"/>
              </w:numPr>
              <w:bidi w:val="0"/>
              <w:ind w:left="360"/>
              <w:rPr>
                <w:rFonts w:asciiTheme="majorBidi" w:hAnsiTheme="majorBidi" w:cstheme="majorBidi"/>
                <w:sz w:val="24"/>
                <w:szCs w:val="24"/>
                <w:rtl/>
              </w:rPr>
            </w:pPr>
          </w:p>
        </w:tc>
        <w:tc>
          <w:tcPr>
            <w:tcW w:w="9379" w:type="dxa"/>
            <w:gridSpan w:val="5"/>
          </w:tcPr>
          <w:p w14:paraId="6BFFDFBB" w14:textId="0588E065" w:rsidR="00F818C4" w:rsidRPr="003371E2" w:rsidRDefault="00F818C4" w:rsidP="00F818C4">
            <w:pPr>
              <w:bidi w:val="0"/>
              <w:rPr>
                <w:rFonts w:asciiTheme="majorBidi" w:hAnsiTheme="majorBidi" w:cstheme="majorBidi"/>
                <w:sz w:val="24"/>
                <w:szCs w:val="24"/>
                <w:rtl/>
              </w:rPr>
            </w:pPr>
            <w:r w:rsidRPr="003371E2">
              <w:rPr>
                <w:rFonts w:asciiTheme="majorBidi" w:hAnsiTheme="majorBidi" w:cstheme="majorBidi"/>
                <w:sz w:val="24"/>
                <w:szCs w:val="24"/>
              </w:rPr>
              <w:t>Management of moderate acute malnutrition</w:t>
            </w:r>
          </w:p>
        </w:tc>
      </w:tr>
      <w:tr w:rsidR="003371E2" w:rsidRPr="003371E2" w14:paraId="53B8DE2E" w14:textId="77777777" w:rsidTr="00764114">
        <w:trPr>
          <w:trHeight w:val="113"/>
        </w:trPr>
        <w:tc>
          <w:tcPr>
            <w:tcW w:w="421" w:type="dxa"/>
            <w:vMerge w:val="restart"/>
            <w:vAlign w:val="center"/>
          </w:tcPr>
          <w:p w14:paraId="73F7F8E6"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18FA41BE" w14:textId="3054FA50"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Management of severe acute malnutrition</w:t>
            </w:r>
          </w:p>
        </w:tc>
      </w:tr>
      <w:tr w:rsidR="003371E2" w:rsidRPr="003371E2" w14:paraId="2C4B3F4B" w14:textId="77777777" w:rsidTr="00764114">
        <w:trPr>
          <w:trHeight w:val="112"/>
        </w:trPr>
        <w:tc>
          <w:tcPr>
            <w:tcW w:w="421" w:type="dxa"/>
            <w:vMerge/>
            <w:vAlign w:val="center"/>
          </w:tcPr>
          <w:p w14:paraId="1473B830"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366DC5D5" w14:textId="4713AC6C"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Micronutrient interventions</w:t>
            </w:r>
          </w:p>
        </w:tc>
      </w:tr>
      <w:tr w:rsidR="003371E2" w:rsidRPr="003371E2" w14:paraId="39186C33" w14:textId="77777777" w:rsidTr="00764114">
        <w:trPr>
          <w:trHeight w:val="113"/>
        </w:trPr>
        <w:tc>
          <w:tcPr>
            <w:tcW w:w="421" w:type="dxa"/>
            <w:vMerge w:val="restart"/>
            <w:vAlign w:val="center"/>
          </w:tcPr>
          <w:p w14:paraId="6FD3A3AF"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7630617A" w14:textId="58CA9183"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Priority health interventions that impact nutrition status in emergencies</w:t>
            </w:r>
          </w:p>
        </w:tc>
      </w:tr>
      <w:tr w:rsidR="003371E2" w:rsidRPr="003371E2" w14:paraId="3A47491C" w14:textId="77777777" w:rsidTr="00764114">
        <w:trPr>
          <w:trHeight w:val="112"/>
        </w:trPr>
        <w:tc>
          <w:tcPr>
            <w:tcW w:w="421" w:type="dxa"/>
            <w:vMerge/>
            <w:vAlign w:val="center"/>
          </w:tcPr>
          <w:p w14:paraId="7ECC2C91"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79D6A365" w14:textId="6E3D261B"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Livelihood interventions</w:t>
            </w:r>
          </w:p>
        </w:tc>
      </w:tr>
      <w:tr w:rsidR="003371E2" w:rsidRPr="003371E2" w14:paraId="68AE61E9" w14:textId="77777777" w:rsidTr="000F6B50">
        <w:trPr>
          <w:trHeight w:val="96"/>
        </w:trPr>
        <w:tc>
          <w:tcPr>
            <w:tcW w:w="421" w:type="dxa"/>
            <w:vAlign w:val="center"/>
          </w:tcPr>
          <w:p w14:paraId="6B48DAF1"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78FBA323" w14:textId="269EF216"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Infant and Young Child Feeding</w:t>
            </w:r>
          </w:p>
        </w:tc>
      </w:tr>
      <w:tr w:rsidR="003371E2" w:rsidRPr="003371E2" w14:paraId="61C23094" w14:textId="77777777" w:rsidTr="000F6B50">
        <w:trPr>
          <w:trHeight w:val="96"/>
        </w:trPr>
        <w:tc>
          <w:tcPr>
            <w:tcW w:w="421" w:type="dxa"/>
            <w:vAlign w:val="center"/>
          </w:tcPr>
          <w:p w14:paraId="3BA90520"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04EF0C94" w14:textId="3ABA06D7"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Wash in Emergencies</w:t>
            </w:r>
          </w:p>
        </w:tc>
      </w:tr>
      <w:tr w:rsidR="003371E2" w:rsidRPr="003371E2" w14:paraId="19538109" w14:textId="77777777" w:rsidTr="000F6B50">
        <w:trPr>
          <w:trHeight w:val="96"/>
        </w:trPr>
        <w:tc>
          <w:tcPr>
            <w:tcW w:w="421" w:type="dxa"/>
            <w:vAlign w:val="center"/>
          </w:tcPr>
          <w:p w14:paraId="6DD61877"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71CE7B0C" w14:textId="0DA53F93"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Monitoring and Evaluation</w:t>
            </w:r>
          </w:p>
        </w:tc>
      </w:tr>
      <w:tr w:rsidR="003371E2" w:rsidRPr="003371E2" w14:paraId="44C473D0" w14:textId="77777777" w:rsidTr="000F6B50">
        <w:trPr>
          <w:trHeight w:val="96"/>
        </w:trPr>
        <w:tc>
          <w:tcPr>
            <w:tcW w:w="421" w:type="dxa"/>
            <w:vAlign w:val="center"/>
          </w:tcPr>
          <w:p w14:paraId="250C19EB"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5C4B0324" w14:textId="1784993C"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Humanitarian Standards and Accountability</w:t>
            </w:r>
          </w:p>
        </w:tc>
      </w:tr>
      <w:tr w:rsidR="003371E2" w:rsidRPr="003371E2" w14:paraId="79A1224D" w14:textId="77777777" w:rsidTr="000F6B50">
        <w:trPr>
          <w:trHeight w:val="96"/>
        </w:trPr>
        <w:tc>
          <w:tcPr>
            <w:tcW w:w="421" w:type="dxa"/>
            <w:vAlign w:val="center"/>
          </w:tcPr>
          <w:p w14:paraId="4D039674" w14:textId="77777777" w:rsidR="003371E2" w:rsidRPr="003371E2" w:rsidRDefault="003371E2" w:rsidP="003371E2">
            <w:pPr>
              <w:pStyle w:val="a7"/>
              <w:numPr>
                <w:ilvl w:val="0"/>
                <w:numId w:val="4"/>
              </w:numPr>
              <w:bidi w:val="0"/>
              <w:ind w:left="360"/>
              <w:rPr>
                <w:rFonts w:asciiTheme="majorBidi" w:hAnsiTheme="majorBidi" w:cstheme="majorBidi"/>
                <w:sz w:val="24"/>
                <w:szCs w:val="24"/>
                <w:rtl/>
              </w:rPr>
            </w:pPr>
          </w:p>
        </w:tc>
        <w:tc>
          <w:tcPr>
            <w:tcW w:w="9379" w:type="dxa"/>
            <w:gridSpan w:val="5"/>
          </w:tcPr>
          <w:p w14:paraId="1DAFBAE2" w14:textId="54F75A6D" w:rsidR="003371E2" w:rsidRPr="003371E2" w:rsidRDefault="003371E2" w:rsidP="003371E2">
            <w:pPr>
              <w:bidi w:val="0"/>
              <w:rPr>
                <w:rFonts w:asciiTheme="majorBidi" w:hAnsiTheme="majorBidi" w:cstheme="majorBidi"/>
                <w:sz w:val="24"/>
                <w:szCs w:val="24"/>
                <w:rtl/>
              </w:rPr>
            </w:pPr>
            <w:r w:rsidRPr="003371E2">
              <w:rPr>
                <w:rFonts w:asciiTheme="majorBidi" w:hAnsiTheme="majorBidi" w:cstheme="majorBidi"/>
                <w:sz w:val="24"/>
                <w:szCs w:val="24"/>
              </w:rPr>
              <w:t>Final Exam</w:t>
            </w:r>
          </w:p>
        </w:tc>
      </w:tr>
      <w:tr w:rsidR="00DD2265" w:rsidRPr="003371E2" w14:paraId="417C5E9E" w14:textId="77777777" w:rsidTr="00DD2265">
        <w:trPr>
          <w:trHeight w:val="432"/>
        </w:trPr>
        <w:tc>
          <w:tcPr>
            <w:tcW w:w="9800" w:type="dxa"/>
            <w:gridSpan w:val="6"/>
            <w:shd w:val="clear" w:color="auto" w:fill="DEEAF6" w:themeFill="accent5" w:themeFillTint="33"/>
            <w:vAlign w:val="center"/>
          </w:tcPr>
          <w:p w14:paraId="6704E2C4" w14:textId="42FC7D89" w:rsidR="00DD2265" w:rsidRPr="003371E2" w:rsidRDefault="00DD2265" w:rsidP="00DD2265">
            <w:pPr>
              <w:shd w:val="clear" w:color="auto" w:fill="DEEAF6" w:themeFill="accent5" w:themeFillTint="33"/>
              <w:bidi w:val="0"/>
              <w:rPr>
                <w:rFonts w:asciiTheme="majorBidi" w:hAnsiTheme="majorBidi" w:cstheme="majorBidi"/>
                <w:b/>
                <w:bCs/>
                <w:sz w:val="24"/>
                <w:szCs w:val="24"/>
                <w:rtl/>
                <w:lang w:bidi="ar-YE"/>
              </w:rPr>
            </w:pPr>
            <w:r w:rsidRPr="003371E2">
              <w:rPr>
                <w:rFonts w:asciiTheme="majorBidi" w:hAnsiTheme="majorBidi" w:cstheme="majorBidi"/>
                <w:b/>
                <w:bCs/>
                <w:sz w:val="24"/>
                <w:szCs w:val="24"/>
                <w:lang w:bidi="ar-YE"/>
              </w:rPr>
              <w:t xml:space="preserve">Course Learning Outcomes: </w:t>
            </w:r>
          </w:p>
        </w:tc>
      </w:tr>
      <w:tr w:rsidR="00DD2265" w:rsidRPr="003371E2" w14:paraId="5587FD03" w14:textId="77777777" w:rsidTr="00DD2265">
        <w:trPr>
          <w:trHeight w:val="395"/>
        </w:trPr>
        <w:tc>
          <w:tcPr>
            <w:tcW w:w="9800" w:type="dxa"/>
            <w:gridSpan w:val="6"/>
            <w:shd w:val="clear" w:color="auto" w:fill="F2F2F2" w:themeFill="background1" w:themeFillShade="F2"/>
            <w:vAlign w:val="center"/>
          </w:tcPr>
          <w:p w14:paraId="21124905" w14:textId="26655AC2" w:rsidR="00DD2265" w:rsidRPr="003371E2" w:rsidRDefault="00DD2265" w:rsidP="00DD2265">
            <w:pPr>
              <w:bidi w:val="0"/>
              <w:rPr>
                <w:rFonts w:asciiTheme="majorBidi" w:hAnsiTheme="majorBidi" w:cstheme="majorBidi"/>
                <w:sz w:val="24"/>
                <w:szCs w:val="24"/>
                <w:rtl/>
                <w:lang w:bidi="ar-YE"/>
              </w:rPr>
            </w:pPr>
            <w:r w:rsidRPr="003371E2">
              <w:rPr>
                <w:rFonts w:asciiTheme="majorBidi" w:hAnsiTheme="majorBidi" w:cstheme="majorBidi"/>
                <w:sz w:val="24"/>
                <w:szCs w:val="24"/>
                <w:lang w:bidi="ar-YE"/>
              </w:rPr>
              <w:t>After completing this course, students would be able to:</w:t>
            </w:r>
          </w:p>
        </w:tc>
      </w:tr>
      <w:tr w:rsidR="003371E2" w:rsidRPr="003371E2" w14:paraId="0102DDB1" w14:textId="77777777" w:rsidTr="00FD617C">
        <w:trPr>
          <w:trHeight w:val="150"/>
        </w:trPr>
        <w:tc>
          <w:tcPr>
            <w:tcW w:w="421" w:type="dxa"/>
            <w:vAlign w:val="center"/>
          </w:tcPr>
          <w:p w14:paraId="131FD854"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2A2C4FEC" w14:textId="6ECC9EF0"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Recognize conceptual framework for the causes of malnutrition.</w:t>
            </w:r>
          </w:p>
        </w:tc>
      </w:tr>
      <w:tr w:rsidR="003371E2" w:rsidRPr="003371E2" w14:paraId="7F49204D" w14:textId="77777777" w:rsidTr="00FD617C">
        <w:trPr>
          <w:trHeight w:val="144"/>
        </w:trPr>
        <w:tc>
          <w:tcPr>
            <w:tcW w:w="421" w:type="dxa"/>
            <w:vAlign w:val="center"/>
          </w:tcPr>
          <w:p w14:paraId="53B5B8CB"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1353574F" w14:textId="3AFA4BB5"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Identify different types of malnutrition including micronutrient deficiencies.</w:t>
            </w:r>
          </w:p>
        </w:tc>
      </w:tr>
      <w:tr w:rsidR="003371E2" w:rsidRPr="003371E2" w14:paraId="64671363" w14:textId="77777777" w:rsidTr="00FD617C">
        <w:trPr>
          <w:trHeight w:val="144"/>
        </w:trPr>
        <w:tc>
          <w:tcPr>
            <w:tcW w:w="421" w:type="dxa"/>
            <w:vAlign w:val="center"/>
          </w:tcPr>
          <w:p w14:paraId="737364C9"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3369296D" w14:textId="2F373599"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Outline the management of acute malnutrition.</w:t>
            </w:r>
          </w:p>
        </w:tc>
      </w:tr>
      <w:tr w:rsidR="003371E2" w:rsidRPr="003371E2" w14:paraId="2C907E58" w14:textId="77777777" w:rsidTr="00FD617C">
        <w:trPr>
          <w:trHeight w:val="144"/>
        </w:trPr>
        <w:tc>
          <w:tcPr>
            <w:tcW w:w="421" w:type="dxa"/>
            <w:vAlign w:val="center"/>
          </w:tcPr>
          <w:p w14:paraId="6F714985"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615FA02B" w14:textId="740FF610"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Summarize infant and young child feeding in emergencies.</w:t>
            </w:r>
          </w:p>
        </w:tc>
      </w:tr>
      <w:tr w:rsidR="003371E2" w:rsidRPr="003371E2" w14:paraId="7AE946F7" w14:textId="77777777" w:rsidTr="00FD617C">
        <w:trPr>
          <w:trHeight w:val="144"/>
        </w:trPr>
        <w:tc>
          <w:tcPr>
            <w:tcW w:w="421" w:type="dxa"/>
            <w:vAlign w:val="center"/>
          </w:tcPr>
          <w:p w14:paraId="2EBD3DE7"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3E4BBEF3" w14:textId="235FA898"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Analyze the complexity and utility of anthropometric nutrition surveys.</w:t>
            </w:r>
          </w:p>
        </w:tc>
      </w:tr>
      <w:tr w:rsidR="003371E2" w:rsidRPr="003371E2" w14:paraId="5D8C8505" w14:textId="77777777" w:rsidTr="00FD617C">
        <w:trPr>
          <w:trHeight w:val="144"/>
        </w:trPr>
        <w:tc>
          <w:tcPr>
            <w:tcW w:w="421" w:type="dxa"/>
            <w:vAlign w:val="center"/>
          </w:tcPr>
          <w:p w14:paraId="30C8146B"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62547800" w14:textId="27D38E89"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Formulate principles, processes and challenges of nutrition surveillance.</w:t>
            </w:r>
          </w:p>
        </w:tc>
      </w:tr>
      <w:tr w:rsidR="003371E2" w:rsidRPr="003371E2" w14:paraId="61F88DB1" w14:textId="77777777" w:rsidTr="00FD617C">
        <w:trPr>
          <w:trHeight w:val="144"/>
        </w:trPr>
        <w:tc>
          <w:tcPr>
            <w:tcW w:w="421" w:type="dxa"/>
            <w:vAlign w:val="center"/>
          </w:tcPr>
          <w:p w14:paraId="37E0A1E0"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72D7F5AB" w14:textId="7A0FE3E6"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Assess different types of malnutrition including micronutrient deficiencies.</w:t>
            </w:r>
          </w:p>
        </w:tc>
      </w:tr>
      <w:tr w:rsidR="003371E2" w:rsidRPr="003371E2" w14:paraId="7104FE8E" w14:textId="77777777" w:rsidTr="00FD617C">
        <w:trPr>
          <w:trHeight w:val="144"/>
        </w:trPr>
        <w:tc>
          <w:tcPr>
            <w:tcW w:w="421" w:type="dxa"/>
            <w:vAlign w:val="center"/>
          </w:tcPr>
          <w:p w14:paraId="0FCB38BA"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1760A0C9" w14:textId="4EA6EF5B"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Monitor and evaluate intervention programs to discuss their effectiveness.</w:t>
            </w:r>
          </w:p>
        </w:tc>
      </w:tr>
      <w:tr w:rsidR="003371E2" w:rsidRPr="003371E2" w14:paraId="7BC84E0F" w14:textId="77777777" w:rsidTr="00FD617C">
        <w:trPr>
          <w:trHeight w:val="144"/>
        </w:trPr>
        <w:tc>
          <w:tcPr>
            <w:tcW w:w="421" w:type="dxa"/>
            <w:vAlign w:val="center"/>
          </w:tcPr>
          <w:p w14:paraId="1C9A69AF" w14:textId="77777777" w:rsidR="003371E2" w:rsidRPr="003371E2" w:rsidRDefault="003371E2" w:rsidP="003371E2">
            <w:pPr>
              <w:pStyle w:val="a7"/>
              <w:numPr>
                <w:ilvl w:val="0"/>
                <w:numId w:val="6"/>
              </w:numPr>
              <w:bidi w:val="0"/>
              <w:ind w:left="360"/>
              <w:rPr>
                <w:rFonts w:asciiTheme="majorBidi" w:hAnsiTheme="majorBidi" w:cstheme="majorBidi"/>
                <w:sz w:val="24"/>
                <w:szCs w:val="24"/>
                <w:rtl/>
                <w:lang w:bidi="ar-YE"/>
              </w:rPr>
            </w:pPr>
          </w:p>
        </w:tc>
        <w:tc>
          <w:tcPr>
            <w:tcW w:w="9379" w:type="dxa"/>
            <w:gridSpan w:val="5"/>
          </w:tcPr>
          <w:p w14:paraId="67A68EFC" w14:textId="75395930" w:rsidR="003371E2" w:rsidRPr="003371E2" w:rsidRDefault="003371E2" w:rsidP="003371E2">
            <w:pPr>
              <w:bidi w:val="0"/>
              <w:rPr>
                <w:rFonts w:asciiTheme="majorBidi" w:hAnsiTheme="majorBidi" w:cstheme="majorBidi"/>
                <w:sz w:val="24"/>
                <w:szCs w:val="24"/>
                <w:rtl/>
                <w:lang w:bidi="ar-YE"/>
              </w:rPr>
            </w:pPr>
            <w:r w:rsidRPr="003371E2">
              <w:rPr>
                <w:rFonts w:asciiTheme="majorBidi" w:hAnsiTheme="majorBidi" w:cstheme="majorBidi"/>
                <w:sz w:val="24"/>
                <w:szCs w:val="24"/>
              </w:rPr>
              <w:t>Work effectively in a group and cooperate with personnel in the health field to understand the complexity and utility of anthropometric nutrition surveys.</w:t>
            </w:r>
          </w:p>
        </w:tc>
      </w:tr>
      <w:tr w:rsidR="00DD2265" w:rsidRPr="003371E2" w14:paraId="79AC4FF7" w14:textId="77777777" w:rsidTr="00DD2265">
        <w:trPr>
          <w:trHeight w:val="432"/>
        </w:trPr>
        <w:tc>
          <w:tcPr>
            <w:tcW w:w="9800" w:type="dxa"/>
            <w:gridSpan w:val="6"/>
            <w:shd w:val="clear" w:color="auto" w:fill="DEEAF6" w:themeFill="accent5" w:themeFillTint="33"/>
            <w:vAlign w:val="center"/>
          </w:tcPr>
          <w:p w14:paraId="47A0AA26" w14:textId="5B7656FD" w:rsidR="00DD2265" w:rsidRPr="003371E2" w:rsidRDefault="00DD2265" w:rsidP="00DD2265">
            <w:pPr>
              <w:bidi w:val="0"/>
              <w:rPr>
                <w:rFonts w:asciiTheme="majorBidi" w:hAnsiTheme="majorBidi" w:cstheme="majorBidi"/>
                <w:b/>
                <w:bCs/>
                <w:sz w:val="24"/>
                <w:szCs w:val="24"/>
                <w:rtl/>
                <w:lang w:bidi="ar-YE"/>
              </w:rPr>
            </w:pPr>
            <w:r w:rsidRPr="003371E2">
              <w:rPr>
                <w:rFonts w:asciiTheme="majorBidi" w:hAnsiTheme="majorBidi" w:cstheme="majorBidi"/>
                <w:b/>
                <w:bCs/>
                <w:sz w:val="24"/>
                <w:szCs w:val="24"/>
                <w:lang w:bidi="ar-YE"/>
              </w:rPr>
              <w:t>Textbooks:</w:t>
            </w:r>
          </w:p>
        </w:tc>
      </w:tr>
      <w:tr w:rsidR="003371E2" w:rsidRPr="003371E2" w14:paraId="6CBD350E" w14:textId="77777777" w:rsidTr="003371E2">
        <w:trPr>
          <w:trHeight w:val="388"/>
        </w:trPr>
        <w:tc>
          <w:tcPr>
            <w:tcW w:w="421" w:type="dxa"/>
            <w:vAlign w:val="center"/>
          </w:tcPr>
          <w:p w14:paraId="73276147" w14:textId="77777777" w:rsidR="003371E2" w:rsidRPr="003371E2" w:rsidRDefault="003371E2" w:rsidP="003371E2">
            <w:pPr>
              <w:pStyle w:val="a7"/>
              <w:numPr>
                <w:ilvl w:val="0"/>
                <w:numId w:val="5"/>
              </w:numPr>
              <w:bidi w:val="0"/>
              <w:ind w:left="360"/>
              <w:rPr>
                <w:rFonts w:asciiTheme="majorBidi" w:hAnsiTheme="majorBidi" w:cstheme="majorBidi"/>
                <w:sz w:val="24"/>
                <w:szCs w:val="24"/>
                <w:rtl/>
              </w:rPr>
            </w:pPr>
          </w:p>
        </w:tc>
        <w:tc>
          <w:tcPr>
            <w:tcW w:w="9379" w:type="dxa"/>
            <w:gridSpan w:val="5"/>
          </w:tcPr>
          <w:p w14:paraId="779D6874" w14:textId="167ED827" w:rsidR="003371E2" w:rsidRPr="003371E2" w:rsidRDefault="003371E2" w:rsidP="003371E2">
            <w:pPr>
              <w:bidi w:val="0"/>
              <w:rPr>
                <w:rFonts w:asciiTheme="majorBidi" w:hAnsiTheme="majorBidi" w:cstheme="majorBidi"/>
                <w:sz w:val="24"/>
                <w:szCs w:val="24"/>
                <w:rtl/>
              </w:rPr>
            </w:pPr>
            <w:proofErr w:type="spellStart"/>
            <w:r w:rsidRPr="003371E2">
              <w:rPr>
                <w:rStyle w:val="a8"/>
                <w:rFonts w:asciiTheme="majorBidi" w:hAnsiTheme="majorBidi" w:cstheme="majorBidi"/>
                <w:b w:val="0"/>
                <w:bCs w:val="0"/>
                <w:sz w:val="24"/>
                <w:szCs w:val="24"/>
              </w:rPr>
              <w:t>Unicef</w:t>
            </w:r>
            <w:proofErr w:type="spellEnd"/>
            <w:r w:rsidRPr="003371E2">
              <w:rPr>
                <w:rFonts w:asciiTheme="majorBidi" w:hAnsiTheme="majorBidi" w:cstheme="majorBidi"/>
                <w:sz w:val="24"/>
                <w:szCs w:val="24"/>
              </w:rPr>
              <w:t xml:space="preserve"> (2011), </w:t>
            </w:r>
            <w:r w:rsidRPr="003371E2">
              <w:rPr>
                <w:rStyle w:val="a9"/>
                <w:rFonts w:asciiTheme="majorBidi" w:hAnsiTheme="majorBidi" w:cstheme="majorBidi"/>
                <w:sz w:val="24"/>
                <w:szCs w:val="24"/>
              </w:rPr>
              <w:t>Harmonized Training Package (HTP): Resource Material for Training on Nutrition in Emergencies</w:t>
            </w:r>
            <w:r w:rsidRPr="003371E2">
              <w:rPr>
                <w:rFonts w:asciiTheme="majorBidi" w:hAnsiTheme="majorBidi" w:cstheme="majorBidi"/>
                <w:sz w:val="24"/>
                <w:szCs w:val="24"/>
              </w:rPr>
              <w:t>, version 2.</w:t>
            </w:r>
          </w:p>
        </w:tc>
      </w:tr>
      <w:tr w:rsidR="003371E2" w:rsidRPr="003371E2" w14:paraId="59641F55" w14:textId="77777777" w:rsidTr="003371E2">
        <w:trPr>
          <w:trHeight w:val="388"/>
        </w:trPr>
        <w:tc>
          <w:tcPr>
            <w:tcW w:w="421" w:type="dxa"/>
            <w:vAlign w:val="center"/>
          </w:tcPr>
          <w:p w14:paraId="5F69D975" w14:textId="77777777" w:rsidR="003371E2" w:rsidRPr="003371E2" w:rsidRDefault="003371E2" w:rsidP="003371E2">
            <w:pPr>
              <w:pStyle w:val="a7"/>
              <w:numPr>
                <w:ilvl w:val="0"/>
                <w:numId w:val="5"/>
              </w:numPr>
              <w:bidi w:val="0"/>
              <w:ind w:left="360"/>
              <w:rPr>
                <w:rFonts w:asciiTheme="majorBidi" w:hAnsiTheme="majorBidi" w:cstheme="majorBidi"/>
                <w:sz w:val="24"/>
                <w:szCs w:val="24"/>
                <w:rtl/>
              </w:rPr>
            </w:pPr>
          </w:p>
        </w:tc>
        <w:tc>
          <w:tcPr>
            <w:tcW w:w="9379" w:type="dxa"/>
            <w:gridSpan w:val="5"/>
          </w:tcPr>
          <w:p w14:paraId="003DAEB6" w14:textId="1B36FD5A" w:rsidR="003371E2" w:rsidRPr="003371E2" w:rsidRDefault="003371E2" w:rsidP="003371E2">
            <w:pPr>
              <w:bidi w:val="0"/>
              <w:rPr>
                <w:rFonts w:asciiTheme="majorBidi" w:hAnsiTheme="majorBidi" w:cstheme="majorBidi"/>
                <w:sz w:val="24"/>
                <w:szCs w:val="24"/>
                <w:rtl/>
              </w:rPr>
            </w:pPr>
            <w:r w:rsidRPr="003371E2">
              <w:rPr>
                <w:rStyle w:val="a8"/>
                <w:rFonts w:asciiTheme="majorBidi" w:hAnsiTheme="majorBidi" w:cstheme="majorBidi"/>
                <w:b w:val="0"/>
                <w:bCs w:val="0"/>
                <w:sz w:val="24"/>
                <w:szCs w:val="24"/>
              </w:rPr>
              <w:t>Boyle, Marie A. &amp; Holben, David H</w:t>
            </w:r>
            <w:r w:rsidRPr="003371E2">
              <w:rPr>
                <w:rStyle w:val="a8"/>
                <w:rFonts w:asciiTheme="majorBidi" w:hAnsiTheme="majorBidi" w:cstheme="majorBidi"/>
                <w:sz w:val="24"/>
                <w:szCs w:val="24"/>
              </w:rPr>
              <w:t>.</w:t>
            </w:r>
            <w:r w:rsidRPr="003371E2">
              <w:rPr>
                <w:rFonts w:asciiTheme="majorBidi" w:hAnsiTheme="majorBidi" w:cstheme="majorBidi"/>
                <w:sz w:val="24"/>
                <w:szCs w:val="24"/>
              </w:rPr>
              <w:t xml:space="preserve"> (2006), </w:t>
            </w:r>
            <w:r w:rsidRPr="003371E2">
              <w:rPr>
                <w:rStyle w:val="a9"/>
                <w:rFonts w:asciiTheme="majorBidi" w:hAnsiTheme="majorBidi" w:cstheme="majorBidi"/>
                <w:sz w:val="24"/>
                <w:szCs w:val="24"/>
              </w:rPr>
              <w:t>Community Nutrition in Action: An Entrepreneurial Approach</w:t>
            </w:r>
            <w:r w:rsidRPr="003371E2">
              <w:rPr>
                <w:rFonts w:asciiTheme="majorBidi" w:hAnsiTheme="majorBidi" w:cstheme="majorBidi"/>
                <w:sz w:val="24"/>
                <w:szCs w:val="24"/>
              </w:rPr>
              <w:t>, 4th edition, Thomson Wadsworth Publishers, Australia.</w:t>
            </w:r>
          </w:p>
        </w:tc>
      </w:tr>
      <w:tr w:rsidR="00DD2265" w:rsidRPr="003371E2" w14:paraId="2661D110" w14:textId="77777777" w:rsidTr="00DD2265">
        <w:trPr>
          <w:trHeight w:val="432"/>
        </w:trPr>
        <w:tc>
          <w:tcPr>
            <w:tcW w:w="9800" w:type="dxa"/>
            <w:gridSpan w:val="6"/>
            <w:shd w:val="clear" w:color="auto" w:fill="DEEAF6" w:themeFill="accent5" w:themeFillTint="33"/>
            <w:vAlign w:val="center"/>
          </w:tcPr>
          <w:p w14:paraId="13AB1C1A" w14:textId="2B4A8D73" w:rsidR="00DD2265" w:rsidRPr="003371E2" w:rsidRDefault="00DD2265" w:rsidP="00DD2265">
            <w:pPr>
              <w:bidi w:val="0"/>
              <w:rPr>
                <w:rFonts w:asciiTheme="majorBidi" w:hAnsiTheme="majorBidi" w:cstheme="majorBidi"/>
                <w:b/>
                <w:bCs/>
                <w:sz w:val="24"/>
                <w:szCs w:val="24"/>
              </w:rPr>
            </w:pPr>
            <w:r w:rsidRPr="003371E2">
              <w:rPr>
                <w:rFonts w:asciiTheme="majorBidi" w:hAnsiTheme="majorBidi" w:cstheme="majorBidi"/>
                <w:b/>
                <w:bCs/>
                <w:sz w:val="24"/>
                <w:szCs w:val="24"/>
              </w:rPr>
              <w:t>Course Assessment:</w:t>
            </w:r>
          </w:p>
        </w:tc>
      </w:tr>
      <w:tr w:rsidR="00236010" w:rsidRPr="003371E2" w14:paraId="4F3FF534" w14:textId="77777777" w:rsidTr="00C1515A">
        <w:trPr>
          <w:trHeight w:val="363"/>
        </w:trPr>
        <w:tc>
          <w:tcPr>
            <w:tcW w:w="570" w:type="dxa"/>
            <w:gridSpan w:val="2"/>
            <w:shd w:val="clear" w:color="auto" w:fill="F2F2F2" w:themeFill="background1" w:themeFillShade="F2"/>
          </w:tcPr>
          <w:p w14:paraId="7D0C3E8A" w14:textId="765FFBD8" w:rsidR="00236010" w:rsidRPr="003371E2" w:rsidRDefault="00236010" w:rsidP="00236010">
            <w:pPr>
              <w:bidi w:val="0"/>
              <w:jc w:val="center"/>
              <w:rPr>
                <w:rFonts w:asciiTheme="majorBidi" w:hAnsiTheme="majorBidi" w:cstheme="majorBidi"/>
                <w:b/>
                <w:bCs/>
                <w:sz w:val="24"/>
                <w:szCs w:val="24"/>
                <w:rtl/>
              </w:rPr>
            </w:pPr>
            <w:r w:rsidRPr="003371E2">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3371E2" w:rsidRDefault="00236010" w:rsidP="00236010">
            <w:pPr>
              <w:bidi w:val="0"/>
              <w:jc w:val="center"/>
              <w:rPr>
                <w:rFonts w:asciiTheme="majorBidi" w:hAnsiTheme="majorBidi" w:cstheme="majorBidi"/>
                <w:b/>
                <w:bCs/>
                <w:sz w:val="24"/>
                <w:szCs w:val="24"/>
                <w:rtl/>
              </w:rPr>
            </w:pPr>
            <w:r w:rsidRPr="003371E2">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3371E2" w:rsidRDefault="00236010" w:rsidP="00236010">
            <w:pPr>
              <w:bidi w:val="0"/>
              <w:jc w:val="center"/>
              <w:rPr>
                <w:rFonts w:asciiTheme="majorBidi" w:hAnsiTheme="majorBidi" w:cstheme="majorBidi"/>
                <w:b/>
                <w:bCs/>
                <w:sz w:val="24"/>
                <w:szCs w:val="24"/>
                <w:rtl/>
              </w:rPr>
            </w:pPr>
            <w:r w:rsidRPr="003371E2">
              <w:rPr>
                <w:rFonts w:asciiTheme="majorBidi" w:hAnsiTheme="majorBidi" w:cstheme="majorBidi"/>
                <w:b/>
                <w:bCs/>
                <w:sz w:val="24"/>
                <w:szCs w:val="24"/>
              </w:rPr>
              <w:t>Mark</w:t>
            </w:r>
          </w:p>
        </w:tc>
      </w:tr>
      <w:tr w:rsidR="003371E2" w:rsidRPr="003371E2" w14:paraId="231B9796" w14:textId="77777777" w:rsidTr="00E658B2">
        <w:trPr>
          <w:trHeight w:val="363"/>
        </w:trPr>
        <w:tc>
          <w:tcPr>
            <w:tcW w:w="570" w:type="dxa"/>
            <w:gridSpan w:val="2"/>
            <w:vAlign w:val="center"/>
          </w:tcPr>
          <w:p w14:paraId="720ECF46" w14:textId="3CAE06BE" w:rsidR="003371E2" w:rsidRPr="003371E2" w:rsidRDefault="003371E2" w:rsidP="003371E2">
            <w:pPr>
              <w:pStyle w:val="a7"/>
              <w:numPr>
                <w:ilvl w:val="0"/>
                <w:numId w:val="3"/>
              </w:numPr>
              <w:bidi w:val="0"/>
              <w:jc w:val="center"/>
              <w:rPr>
                <w:rFonts w:asciiTheme="majorBidi" w:hAnsiTheme="majorBidi" w:cstheme="majorBidi"/>
                <w:sz w:val="24"/>
                <w:szCs w:val="24"/>
                <w:rtl/>
              </w:rPr>
            </w:pPr>
          </w:p>
        </w:tc>
        <w:tc>
          <w:tcPr>
            <w:tcW w:w="4959" w:type="dxa"/>
            <w:gridSpan w:val="2"/>
          </w:tcPr>
          <w:p w14:paraId="3D32AEC2" w14:textId="1C6D2613" w:rsidR="003371E2" w:rsidRPr="003371E2" w:rsidRDefault="003371E2" w:rsidP="003371E2">
            <w:pPr>
              <w:bidi w:val="0"/>
              <w:rPr>
                <w:rFonts w:asciiTheme="majorBidi" w:hAnsiTheme="majorBidi" w:cstheme="majorBidi"/>
                <w:b/>
                <w:bCs/>
                <w:sz w:val="24"/>
                <w:szCs w:val="24"/>
                <w:rtl/>
              </w:rPr>
            </w:pPr>
            <w:r w:rsidRPr="003371E2">
              <w:rPr>
                <w:rStyle w:val="a8"/>
                <w:rFonts w:asciiTheme="majorBidi" w:hAnsiTheme="majorBidi" w:cstheme="majorBidi"/>
                <w:b w:val="0"/>
                <w:bCs w:val="0"/>
                <w:sz w:val="24"/>
                <w:szCs w:val="24"/>
              </w:rPr>
              <w:t>Quizzes</w:t>
            </w:r>
          </w:p>
        </w:tc>
        <w:tc>
          <w:tcPr>
            <w:tcW w:w="4271" w:type="dxa"/>
            <w:gridSpan w:val="2"/>
            <w:vAlign w:val="center"/>
          </w:tcPr>
          <w:p w14:paraId="10F85D2F" w14:textId="421C94D2" w:rsidR="003371E2" w:rsidRPr="003371E2" w:rsidRDefault="003371E2" w:rsidP="003371E2">
            <w:pPr>
              <w:bidi w:val="0"/>
              <w:jc w:val="center"/>
              <w:rPr>
                <w:rFonts w:asciiTheme="majorBidi" w:hAnsiTheme="majorBidi" w:cstheme="majorBidi"/>
                <w:sz w:val="24"/>
                <w:szCs w:val="24"/>
              </w:rPr>
            </w:pPr>
            <w:r w:rsidRPr="003371E2">
              <w:rPr>
                <w:rFonts w:asciiTheme="majorBidi" w:hAnsiTheme="majorBidi" w:cstheme="majorBidi"/>
                <w:sz w:val="24"/>
                <w:szCs w:val="24"/>
              </w:rPr>
              <w:t>5</w:t>
            </w:r>
          </w:p>
        </w:tc>
      </w:tr>
      <w:tr w:rsidR="003371E2" w:rsidRPr="003371E2" w14:paraId="4B94982F" w14:textId="77777777" w:rsidTr="00E658B2">
        <w:trPr>
          <w:trHeight w:val="363"/>
        </w:trPr>
        <w:tc>
          <w:tcPr>
            <w:tcW w:w="570" w:type="dxa"/>
            <w:gridSpan w:val="2"/>
            <w:vAlign w:val="center"/>
          </w:tcPr>
          <w:p w14:paraId="623FA5B0" w14:textId="7B45770B" w:rsidR="003371E2" w:rsidRPr="003371E2" w:rsidRDefault="003371E2" w:rsidP="003371E2">
            <w:pPr>
              <w:pStyle w:val="a7"/>
              <w:numPr>
                <w:ilvl w:val="0"/>
                <w:numId w:val="3"/>
              </w:numPr>
              <w:bidi w:val="0"/>
              <w:jc w:val="center"/>
              <w:rPr>
                <w:rFonts w:asciiTheme="majorBidi" w:hAnsiTheme="majorBidi" w:cstheme="majorBidi"/>
                <w:sz w:val="24"/>
                <w:szCs w:val="24"/>
                <w:rtl/>
              </w:rPr>
            </w:pPr>
          </w:p>
        </w:tc>
        <w:tc>
          <w:tcPr>
            <w:tcW w:w="4959" w:type="dxa"/>
            <w:gridSpan w:val="2"/>
          </w:tcPr>
          <w:p w14:paraId="3EC42CBA" w14:textId="225A694A" w:rsidR="003371E2" w:rsidRPr="003371E2" w:rsidRDefault="003371E2" w:rsidP="003371E2">
            <w:pPr>
              <w:bidi w:val="0"/>
              <w:rPr>
                <w:rFonts w:asciiTheme="majorBidi" w:hAnsiTheme="majorBidi" w:cstheme="majorBidi"/>
                <w:b/>
                <w:bCs/>
                <w:sz w:val="24"/>
                <w:szCs w:val="24"/>
                <w:rtl/>
              </w:rPr>
            </w:pPr>
            <w:r w:rsidRPr="003371E2">
              <w:rPr>
                <w:rStyle w:val="a8"/>
                <w:rFonts w:asciiTheme="majorBidi" w:hAnsiTheme="majorBidi" w:cstheme="majorBidi"/>
                <w:b w:val="0"/>
                <w:bCs w:val="0"/>
                <w:sz w:val="24"/>
                <w:szCs w:val="24"/>
              </w:rPr>
              <w:t>Assignments and reports</w:t>
            </w:r>
          </w:p>
        </w:tc>
        <w:tc>
          <w:tcPr>
            <w:tcW w:w="4271" w:type="dxa"/>
            <w:gridSpan w:val="2"/>
            <w:vAlign w:val="center"/>
          </w:tcPr>
          <w:p w14:paraId="74932237" w14:textId="10A36D5C" w:rsidR="003371E2" w:rsidRPr="003371E2" w:rsidRDefault="003371E2" w:rsidP="003371E2">
            <w:pPr>
              <w:bidi w:val="0"/>
              <w:jc w:val="center"/>
              <w:rPr>
                <w:rFonts w:asciiTheme="majorBidi" w:hAnsiTheme="majorBidi" w:cstheme="majorBidi"/>
                <w:sz w:val="24"/>
                <w:szCs w:val="24"/>
              </w:rPr>
            </w:pPr>
            <w:r w:rsidRPr="003371E2">
              <w:rPr>
                <w:rFonts w:asciiTheme="majorBidi" w:hAnsiTheme="majorBidi" w:cstheme="majorBidi"/>
                <w:sz w:val="24"/>
                <w:szCs w:val="24"/>
              </w:rPr>
              <w:t>10</w:t>
            </w:r>
          </w:p>
        </w:tc>
      </w:tr>
      <w:tr w:rsidR="003371E2" w:rsidRPr="003371E2" w14:paraId="57EE9CA5" w14:textId="77777777" w:rsidTr="00E658B2">
        <w:trPr>
          <w:trHeight w:val="363"/>
        </w:trPr>
        <w:tc>
          <w:tcPr>
            <w:tcW w:w="570" w:type="dxa"/>
            <w:gridSpan w:val="2"/>
            <w:vAlign w:val="center"/>
          </w:tcPr>
          <w:p w14:paraId="609D48DF" w14:textId="32F4E0E6" w:rsidR="003371E2" w:rsidRPr="003371E2" w:rsidRDefault="003371E2" w:rsidP="003371E2">
            <w:pPr>
              <w:pStyle w:val="a7"/>
              <w:numPr>
                <w:ilvl w:val="0"/>
                <w:numId w:val="3"/>
              </w:numPr>
              <w:bidi w:val="0"/>
              <w:jc w:val="center"/>
              <w:rPr>
                <w:rFonts w:asciiTheme="majorBidi" w:hAnsiTheme="majorBidi" w:cstheme="majorBidi"/>
                <w:sz w:val="24"/>
                <w:szCs w:val="24"/>
                <w:rtl/>
              </w:rPr>
            </w:pPr>
          </w:p>
        </w:tc>
        <w:tc>
          <w:tcPr>
            <w:tcW w:w="4959" w:type="dxa"/>
            <w:gridSpan w:val="2"/>
          </w:tcPr>
          <w:p w14:paraId="0D017EE9" w14:textId="0186132E" w:rsidR="003371E2" w:rsidRPr="003371E2" w:rsidRDefault="003371E2" w:rsidP="003371E2">
            <w:pPr>
              <w:bidi w:val="0"/>
              <w:rPr>
                <w:rFonts w:asciiTheme="majorBidi" w:hAnsiTheme="majorBidi" w:cstheme="majorBidi"/>
                <w:b/>
                <w:bCs/>
                <w:sz w:val="24"/>
                <w:szCs w:val="24"/>
                <w:rtl/>
              </w:rPr>
            </w:pPr>
            <w:r w:rsidRPr="003371E2">
              <w:rPr>
                <w:rStyle w:val="a8"/>
                <w:rFonts w:asciiTheme="majorBidi" w:hAnsiTheme="majorBidi" w:cstheme="majorBidi"/>
                <w:b w:val="0"/>
                <w:bCs w:val="0"/>
                <w:sz w:val="24"/>
                <w:szCs w:val="24"/>
              </w:rPr>
              <w:t>Midterm Exam</w:t>
            </w:r>
          </w:p>
        </w:tc>
        <w:tc>
          <w:tcPr>
            <w:tcW w:w="4271" w:type="dxa"/>
            <w:gridSpan w:val="2"/>
            <w:vAlign w:val="center"/>
          </w:tcPr>
          <w:p w14:paraId="1E9F14D3" w14:textId="2530D6DE" w:rsidR="003371E2" w:rsidRPr="003371E2" w:rsidRDefault="003371E2" w:rsidP="003371E2">
            <w:pPr>
              <w:bidi w:val="0"/>
              <w:jc w:val="center"/>
              <w:rPr>
                <w:rFonts w:asciiTheme="majorBidi" w:hAnsiTheme="majorBidi" w:cstheme="majorBidi"/>
                <w:sz w:val="24"/>
                <w:szCs w:val="24"/>
              </w:rPr>
            </w:pPr>
            <w:r w:rsidRPr="003371E2">
              <w:rPr>
                <w:rFonts w:asciiTheme="majorBidi" w:hAnsiTheme="majorBidi" w:cstheme="majorBidi"/>
                <w:sz w:val="24"/>
                <w:szCs w:val="24"/>
              </w:rPr>
              <w:t>25</w:t>
            </w:r>
          </w:p>
        </w:tc>
      </w:tr>
      <w:tr w:rsidR="003371E2" w:rsidRPr="003371E2" w14:paraId="06DB3F57" w14:textId="77777777" w:rsidTr="00E658B2">
        <w:trPr>
          <w:trHeight w:val="363"/>
        </w:trPr>
        <w:tc>
          <w:tcPr>
            <w:tcW w:w="570" w:type="dxa"/>
            <w:gridSpan w:val="2"/>
            <w:vAlign w:val="center"/>
          </w:tcPr>
          <w:p w14:paraId="03E1FEFC" w14:textId="77777777" w:rsidR="003371E2" w:rsidRPr="003371E2" w:rsidRDefault="003371E2" w:rsidP="003371E2">
            <w:pPr>
              <w:pStyle w:val="a7"/>
              <w:numPr>
                <w:ilvl w:val="0"/>
                <w:numId w:val="3"/>
              </w:numPr>
              <w:bidi w:val="0"/>
              <w:jc w:val="center"/>
              <w:rPr>
                <w:rFonts w:asciiTheme="majorBidi" w:hAnsiTheme="majorBidi" w:cstheme="majorBidi"/>
                <w:sz w:val="24"/>
                <w:szCs w:val="24"/>
                <w:rtl/>
              </w:rPr>
            </w:pPr>
          </w:p>
        </w:tc>
        <w:tc>
          <w:tcPr>
            <w:tcW w:w="4959" w:type="dxa"/>
            <w:gridSpan w:val="2"/>
          </w:tcPr>
          <w:p w14:paraId="0FFFC09F" w14:textId="0F9A7047" w:rsidR="003371E2" w:rsidRPr="003371E2" w:rsidRDefault="003371E2" w:rsidP="003371E2">
            <w:pPr>
              <w:bidi w:val="0"/>
              <w:rPr>
                <w:rFonts w:asciiTheme="majorBidi" w:hAnsiTheme="majorBidi" w:cstheme="majorBidi"/>
                <w:b/>
                <w:bCs/>
                <w:sz w:val="24"/>
                <w:szCs w:val="24"/>
              </w:rPr>
            </w:pPr>
            <w:r w:rsidRPr="003371E2">
              <w:rPr>
                <w:rStyle w:val="a8"/>
                <w:rFonts w:asciiTheme="majorBidi" w:hAnsiTheme="majorBidi" w:cstheme="majorBidi"/>
                <w:b w:val="0"/>
                <w:bCs w:val="0"/>
                <w:sz w:val="24"/>
                <w:szCs w:val="24"/>
              </w:rPr>
              <w:t>Final Exam</w:t>
            </w:r>
          </w:p>
        </w:tc>
        <w:tc>
          <w:tcPr>
            <w:tcW w:w="4271" w:type="dxa"/>
            <w:gridSpan w:val="2"/>
            <w:vAlign w:val="center"/>
          </w:tcPr>
          <w:p w14:paraId="618D5AA4" w14:textId="3AE1C4AA" w:rsidR="003371E2" w:rsidRPr="003371E2" w:rsidRDefault="003371E2" w:rsidP="003371E2">
            <w:pPr>
              <w:bidi w:val="0"/>
              <w:jc w:val="center"/>
              <w:rPr>
                <w:rFonts w:asciiTheme="majorBidi" w:hAnsiTheme="majorBidi" w:cstheme="majorBidi"/>
                <w:sz w:val="24"/>
                <w:szCs w:val="24"/>
              </w:rPr>
            </w:pPr>
            <w:r w:rsidRPr="003371E2">
              <w:rPr>
                <w:rFonts w:asciiTheme="majorBidi" w:hAnsiTheme="majorBidi" w:cstheme="majorBidi"/>
                <w:sz w:val="24"/>
                <w:szCs w:val="24"/>
              </w:rPr>
              <w:t>60</w:t>
            </w:r>
          </w:p>
        </w:tc>
      </w:tr>
      <w:tr w:rsidR="00236010" w:rsidRPr="003371E2" w14:paraId="7F7DF4D0" w14:textId="77777777" w:rsidTr="00C1515A">
        <w:trPr>
          <w:trHeight w:val="363"/>
        </w:trPr>
        <w:tc>
          <w:tcPr>
            <w:tcW w:w="5529" w:type="dxa"/>
            <w:gridSpan w:val="4"/>
            <w:shd w:val="clear" w:color="auto" w:fill="F2F2F2" w:themeFill="background1" w:themeFillShade="F2"/>
            <w:vAlign w:val="center"/>
          </w:tcPr>
          <w:p w14:paraId="3641D387" w14:textId="1B621474" w:rsidR="00236010" w:rsidRPr="003371E2" w:rsidRDefault="00236010" w:rsidP="00236010">
            <w:pPr>
              <w:bidi w:val="0"/>
              <w:jc w:val="center"/>
              <w:rPr>
                <w:rFonts w:asciiTheme="majorBidi" w:hAnsiTheme="majorBidi" w:cstheme="majorBidi"/>
                <w:b/>
                <w:bCs/>
                <w:sz w:val="24"/>
                <w:szCs w:val="24"/>
              </w:rPr>
            </w:pPr>
            <w:r w:rsidRPr="003371E2">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3371E2" w:rsidRDefault="007319D1" w:rsidP="00236010">
            <w:pPr>
              <w:bidi w:val="0"/>
              <w:jc w:val="center"/>
              <w:rPr>
                <w:rFonts w:asciiTheme="majorBidi" w:hAnsiTheme="majorBidi" w:cstheme="majorBidi"/>
                <w:b/>
                <w:bCs/>
                <w:sz w:val="24"/>
                <w:szCs w:val="24"/>
              </w:rPr>
            </w:pPr>
            <w:r w:rsidRPr="003371E2">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FF73" w14:textId="77777777" w:rsidR="006B64BE" w:rsidRDefault="006B64BE" w:rsidP="002962A2">
      <w:pPr>
        <w:spacing w:after="0" w:line="240" w:lineRule="auto"/>
      </w:pPr>
      <w:r>
        <w:separator/>
      </w:r>
    </w:p>
  </w:endnote>
  <w:endnote w:type="continuationSeparator" w:id="0">
    <w:p w14:paraId="3AA80539" w14:textId="77777777" w:rsidR="006B64BE" w:rsidRDefault="006B64BE"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118C" w14:textId="77777777" w:rsidR="006B64BE" w:rsidRDefault="006B64BE" w:rsidP="002962A2">
      <w:pPr>
        <w:spacing w:after="0" w:line="240" w:lineRule="auto"/>
      </w:pPr>
      <w:r>
        <w:separator/>
      </w:r>
    </w:p>
  </w:footnote>
  <w:footnote w:type="continuationSeparator" w:id="0">
    <w:p w14:paraId="336093CE" w14:textId="77777777" w:rsidR="006B64BE" w:rsidRDefault="006B64BE"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1D7"/>
    <w:multiLevelType w:val="hybridMultilevel"/>
    <w:tmpl w:val="32C86EE8"/>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118CB"/>
    <w:multiLevelType w:val="hybridMultilevel"/>
    <w:tmpl w:val="CDB8A6D8"/>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E167F"/>
    <w:multiLevelType w:val="hybridMultilevel"/>
    <w:tmpl w:val="859AC842"/>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2"/>
  </w:num>
  <w:num w:numId="2" w16cid:durableId="625506614">
    <w:abstractNumId w:val="1"/>
  </w:num>
  <w:num w:numId="3" w16cid:durableId="41560952">
    <w:abstractNumId w:val="5"/>
  </w:num>
  <w:num w:numId="4" w16cid:durableId="282663361">
    <w:abstractNumId w:val="3"/>
  </w:num>
  <w:num w:numId="5" w16cid:durableId="1418290616">
    <w:abstractNumId w:val="0"/>
  </w:num>
  <w:num w:numId="6" w16cid:durableId="569465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371E2"/>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2578"/>
    <w:rsid w:val="005E65E8"/>
    <w:rsid w:val="00604EFE"/>
    <w:rsid w:val="00634BAC"/>
    <w:rsid w:val="006B64BE"/>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C779C"/>
    <w:rsid w:val="00AF64CB"/>
    <w:rsid w:val="00B04037"/>
    <w:rsid w:val="00B27EC6"/>
    <w:rsid w:val="00B43A99"/>
    <w:rsid w:val="00B62F6E"/>
    <w:rsid w:val="00B64CAF"/>
    <w:rsid w:val="00B937D5"/>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362C3"/>
    <w:rsid w:val="00F409BB"/>
    <w:rsid w:val="00F57AB1"/>
    <w:rsid w:val="00F718D1"/>
    <w:rsid w:val="00F81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Strong"/>
    <w:basedOn w:val="a0"/>
    <w:uiPriority w:val="22"/>
    <w:qFormat/>
    <w:rsid w:val="003371E2"/>
    <w:rPr>
      <w:b/>
      <w:bCs/>
    </w:rPr>
  </w:style>
  <w:style w:type="character" w:styleId="a9">
    <w:name w:val="Emphasis"/>
    <w:basedOn w:val="a0"/>
    <w:uiPriority w:val="20"/>
    <w:qFormat/>
    <w:rsid w:val="00337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416</Words>
  <Characters>2375</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